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EDBA64" w14:textId="3CD61209" w:rsidR="005505BD" w:rsidRPr="004127BC" w:rsidRDefault="00FE06DA" w:rsidP="004127B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127BC">
        <w:rPr>
          <w:rFonts w:ascii="Arial" w:hAnsi="Arial" w:cs="Arial"/>
          <w:b/>
          <w:sz w:val="24"/>
          <w:szCs w:val="24"/>
        </w:rPr>
        <w:t>ZAGADNIENIA NA EGZAMIN DYPLOMOWY NA KIERUNKU</w:t>
      </w:r>
      <w:r w:rsidR="004127BC">
        <w:rPr>
          <w:rFonts w:ascii="Arial" w:hAnsi="Arial" w:cs="Arial"/>
          <w:b/>
          <w:sz w:val="24"/>
          <w:szCs w:val="24"/>
        </w:rPr>
        <w:t xml:space="preserve"> </w:t>
      </w:r>
      <w:r w:rsidRPr="004127BC">
        <w:rPr>
          <w:rFonts w:ascii="Arial" w:hAnsi="Arial" w:cs="Arial"/>
          <w:b/>
          <w:sz w:val="24"/>
          <w:szCs w:val="24"/>
        </w:rPr>
        <w:t>PRAWO</w:t>
      </w:r>
      <w:r w:rsidR="00B34DFA" w:rsidRPr="004127BC">
        <w:rPr>
          <w:rFonts w:ascii="Arial" w:hAnsi="Arial" w:cs="Arial"/>
          <w:b/>
          <w:sz w:val="24"/>
          <w:szCs w:val="24"/>
        </w:rPr>
        <w:t xml:space="preserve"> –</w:t>
      </w:r>
      <w:r w:rsidRPr="004127BC">
        <w:rPr>
          <w:rFonts w:ascii="Arial" w:hAnsi="Arial" w:cs="Arial"/>
          <w:b/>
          <w:sz w:val="24"/>
          <w:szCs w:val="24"/>
        </w:rPr>
        <w:t xml:space="preserve"> JEDNOLITE STUDIA MAGISTERSKIE</w:t>
      </w:r>
    </w:p>
    <w:p w14:paraId="74143A62" w14:textId="385574BD" w:rsidR="00FE06DA" w:rsidRPr="004127BC" w:rsidRDefault="00FE06DA" w:rsidP="004127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(</w:t>
      </w:r>
      <w:r w:rsidR="00B34DFA" w:rsidRPr="004127BC">
        <w:rPr>
          <w:rFonts w:ascii="Arial" w:hAnsi="Arial" w:cs="Arial"/>
          <w:sz w:val="24"/>
          <w:szCs w:val="24"/>
        </w:rPr>
        <w:t xml:space="preserve">dla programu studiów </w:t>
      </w:r>
      <w:r w:rsidRPr="004127BC">
        <w:rPr>
          <w:rFonts w:ascii="Arial" w:hAnsi="Arial" w:cs="Arial"/>
          <w:sz w:val="24"/>
          <w:szCs w:val="24"/>
        </w:rPr>
        <w:t>obowiązujące</w:t>
      </w:r>
      <w:r w:rsidR="00B34DFA" w:rsidRPr="004127BC">
        <w:rPr>
          <w:rFonts w:ascii="Arial" w:hAnsi="Arial" w:cs="Arial"/>
          <w:sz w:val="24"/>
          <w:szCs w:val="24"/>
        </w:rPr>
        <w:t>go</w:t>
      </w:r>
      <w:r w:rsidRPr="004127BC">
        <w:rPr>
          <w:rFonts w:ascii="Arial" w:hAnsi="Arial" w:cs="Arial"/>
          <w:sz w:val="24"/>
          <w:szCs w:val="24"/>
        </w:rPr>
        <w:t xml:space="preserve"> od roku akademickiego 202</w:t>
      </w:r>
      <w:r w:rsidR="00B34DFA" w:rsidRPr="004127BC">
        <w:rPr>
          <w:rFonts w:ascii="Arial" w:hAnsi="Arial" w:cs="Arial"/>
          <w:sz w:val="24"/>
          <w:szCs w:val="24"/>
        </w:rPr>
        <w:t>0</w:t>
      </w:r>
      <w:r w:rsidRPr="004127BC">
        <w:rPr>
          <w:rFonts w:ascii="Arial" w:hAnsi="Arial" w:cs="Arial"/>
          <w:sz w:val="24"/>
          <w:szCs w:val="24"/>
        </w:rPr>
        <w:t>/202</w:t>
      </w:r>
      <w:r w:rsidR="00B34DFA" w:rsidRPr="004127BC">
        <w:rPr>
          <w:rFonts w:ascii="Arial" w:hAnsi="Arial" w:cs="Arial"/>
          <w:sz w:val="24"/>
          <w:szCs w:val="24"/>
        </w:rPr>
        <w:t>1</w:t>
      </w:r>
      <w:r w:rsidRPr="004127BC">
        <w:rPr>
          <w:rFonts w:ascii="Arial" w:hAnsi="Arial" w:cs="Arial"/>
          <w:sz w:val="24"/>
          <w:szCs w:val="24"/>
        </w:rPr>
        <w:t>)</w:t>
      </w:r>
    </w:p>
    <w:p w14:paraId="528C2334" w14:textId="77777777" w:rsidR="00B34DFA" w:rsidRPr="004127BC" w:rsidRDefault="00B34DFA" w:rsidP="004127B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710BA50" w14:textId="02F6D669" w:rsidR="00FE06DA" w:rsidRPr="004127BC" w:rsidRDefault="00FE06DA" w:rsidP="004127B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127BC">
        <w:rPr>
          <w:rFonts w:ascii="Arial" w:hAnsi="Arial" w:cs="Arial"/>
          <w:b/>
          <w:sz w:val="24"/>
          <w:szCs w:val="24"/>
        </w:rPr>
        <w:t>Zagadnienia z przedmiotów ogólnych i kierunkowych</w:t>
      </w:r>
    </w:p>
    <w:p w14:paraId="27DE87BA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Podstawowe różnice między prawem prywatnym a prawem publicznym</w:t>
      </w:r>
    </w:p>
    <w:p w14:paraId="400E159A" w14:textId="7DCADAF4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Subsumpcja w procesie stosowania prawa</w:t>
      </w:r>
    </w:p>
    <w:p w14:paraId="2BEC9522" w14:textId="768AA5F8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Pozycja ustrojowa i kompetencje Trybunału Konstytucyjnego</w:t>
      </w:r>
    </w:p>
    <w:p w14:paraId="2E21F72B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Rola i kompetencje Rzecznika Praw Obywatelskich</w:t>
      </w:r>
    </w:p>
    <w:p w14:paraId="1EDA9ADD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Konstytucyjna zasada niezależności sądów i niezawisłości sędziów</w:t>
      </w:r>
    </w:p>
    <w:p w14:paraId="4CD75093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Zasady etyki sędziowskiej</w:t>
      </w:r>
    </w:p>
    <w:p w14:paraId="03617522" w14:textId="517E1CED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Zasady etyki adwokackiej</w:t>
      </w:r>
    </w:p>
    <w:p w14:paraId="15A75040" w14:textId="77777777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Formy pokojowego rozwiązywania konfliktów międzynarodowych</w:t>
      </w:r>
    </w:p>
    <w:p w14:paraId="1D3BAEA2" w14:textId="0D32EA88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Przywileje i immunitety misji dyplomatycznej (rzeczowe i osobowe)</w:t>
      </w:r>
    </w:p>
    <w:p w14:paraId="5A2B0A3C" w14:textId="77777777" w:rsidR="004726C5" w:rsidRPr="004127BC" w:rsidRDefault="004726C5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System ochrony praw człowieka w Europie</w:t>
      </w:r>
    </w:p>
    <w:p w14:paraId="72FE16E8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Formy czynności prawnych i sankcje za ich niedochowanie</w:t>
      </w:r>
    </w:p>
    <w:p w14:paraId="709D8D3B" w14:textId="50283F42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>Pojęcie i rodzaje przedstawicielstwa (przedstawicielstwo ustawowe, pełnomocnictwo, prokura)</w:t>
      </w:r>
    </w:p>
    <w:p w14:paraId="5235BF70" w14:textId="2E8C4D20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Instytucja nabycia rzeczy ruchomej od nieuprawnionego</w:t>
      </w:r>
    </w:p>
    <w:p w14:paraId="77D8D7C5" w14:textId="4F72AC40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Formy zjawiskowe przestępstwa</w:t>
      </w:r>
    </w:p>
    <w:p w14:paraId="169A9FC6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Wina i okoliczności ją wyłączające w polskim prawie karnym</w:t>
      </w:r>
    </w:p>
    <w:p w14:paraId="686C1CD2" w14:textId="5612BEAC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Obrona konieczna a stan wyższej konieczności</w:t>
      </w:r>
    </w:p>
    <w:p w14:paraId="0489A452" w14:textId="78EFB07F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eastAsia="Times New Roman" w:hAnsi="Arial" w:cs="Arial"/>
          <w:sz w:val="24"/>
          <w:szCs w:val="24"/>
        </w:rPr>
        <w:t>Organy administracji publicznej</w:t>
      </w:r>
    </w:p>
    <w:p w14:paraId="24198781" w14:textId="4A752496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 xml:space="preserve">Prawne formy działania administracji publicznej </w:t>
      </w:r>
    </w:p>
    <w:p w14:paraId="3343351F" w14:textId="241AE329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>Sposoby nabycia obywatelstwa polskiego</w:t>
      </w:r>
    </w:p>
    <w:p w14:paraId="4E578E6E" w14:textId="0B1C9CDE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 xml:space="preserve">Administracyjnoprawna regulacja wolności zrzeszania się </w:t>
      </w:r>
    </w:p>
    <w:p w14:paraId="4F62DE75" w14:textId="5F599868" w:rsidR="001276BC" w:rsidRPr="004127BC" w:rsidRDefault="001276B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 xml:space="preserve">Pojęcie i zawarcie małżeństwa </w:t>
      </w:r>
    </w:p>
    <w:p w14:paraId="0DA9465D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Prawne aspekty macierzyństwa i ojcostwa</w:t>
      </w:r>
    </w:p>
    <w:p w14:paraId="31FD09D8" w14:textId="691F1F6D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Instytucja zachowku – pojęcie i zasady obliczania</w:t>
      </w:r>
    </w:p>
    <w:p w14:paraId="3FDE6DB9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Status prawny i kompetencje organów w jednostkach samorządu terytorialnego</w:t>
      </w:r>
    </w:p>
    <w:p w14:paraId="53242C32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Instytucja nadzoru nad funkcjonowaniem jednostek samorządu terytorialnego</w:t>
      </w:r>
    </w:p>
    <w:p w14:paraId="13CFD9F7" w14:textId="77777777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System prawny Unii Europejskiej</w:t>
      </w:r>
    </w:p>
    <w:p w14:paraId="677BCF62" w14:textId="22231FF2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Wymiar sprawiedliwości Unii Europejskiej</w:t>
      </w:r>
    </w:p>
    <w:p w14:paraId="3E16522D" w14:textId="77777777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Elementy stosunku zobowiązaniowego</w:t>
      </w:r>
    </w:p>
    <w:p w14:paraId="188B966B" w14:textId="66B6B7D0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Bezpodstawne wzbogacenie i nienależne świadczenie</w:t>
      </w:r>
    </w:p>
    <w:p w14:paraId="4B1148F8" w14:textId="50263DDE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color w:val="222222"/>
          <w:sz w:val="24"/>
          <w:szCs w:val="24"/>
          <w:shd w:val="clear" w:color="auto" w:fill="FFFFFF"/>
        </w:rPr>
        <w:t>Umowa sprzedaży (z uwzględnieniem sprzedaży zawieranej na odległość)</w:t>
      </w:r>
    </w:p>
    <w:p w14:paraId="5E3423E3" w14:textId="51704B70" w:rsidR="00681342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color w:val="333333"/>
          <w:sz w:val="24"/>
          <w:szCs w:val="24"/>
          <w:shd w:val="clear" w:color="auto" w:fill="FFFFFF"/>
        </w:rPr>
        <w:t>Spółka cywilna, zasady odpowiedzialności za zobowiązania wspólników</w:t>
      </w:r>
    </w:p>
    <w:p w14:paraId="54C48735" w14:textId="77777777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Ogólne zasady postępowania administracyjnego</w:t>
      </w:r>
    </w:p>
    <w:p w14:paraId="5C7E601E" w14:textId="77777777" w:rsidR="004726C5" w:rsidRPr="004127BC" w:rsidRDefault="004726C5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Nadzwyczajne środki wzruszenia ostatecznych decyzji administracyjnych</w:t>
      </w:r>
    </w:p>
    <w:p w14:paraId="5C95F4A2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Skarga kasacyjna w postępowaniu sądowoadministracyjnym</w:t>
      </w:r>
    </w:p>
    <w:p w14:paraId="019C4770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Bezwzględne i względne przyczyny odwoławcze w polskim prawie karnym</w:t>
      </w:r>
    </w:p>
    <w:p w14:paraId="3CD95EE0" w14:textId="46C8A434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Formy i cele postępowania przygotowawczego w procesie karnym</w:t>
      </w:r>
    </w:p>
    <w:p w14:paraId="22434806" w14:textId="46BDF188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Zawieszenie i umorzenie postępowania karnego</w:t>
      </w:r>
    </w:p>
    <w:p w14:paraId="2003237F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Sposoby rozwiązania umów o pracę</w:t>
      </w:r>
    </w:p>
    <w:p w14:paraId="337573AA" w14:textId="77777777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Prawne aspekty pracy zdalnej</w:t>
      </w:r>
    </w:p>
    <w:p w14:paraId="214F0BFD" w14:textId="77777777" w:rsidR="002B3462" w:rsidRPr="004127BC" w:rsidRDefault="002B346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Pojęcie środków publicznych i ich rodzaje</w:t>
      </w:r>
    </w:p>
    <w:p w14:paraId="708BA706" w14:textId="77777777" w:rsidR="002B3462" w:rsidRPr="004127BC" w:rsidRDefault="002B346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 xml:space="preserve">Budżet państwa </w:t>
      </w:r>
      <w:r w:rsidR="004C57E5" w:rsidRPr="004127BC">
        <w:rPr>
          <w:rFonts w:ascii="Arial" w:hAnsi="Arial" w:cs="Arial"/>
          <w:sz w:val="24"/>
          <w:szCs w:val="24"/>
        </w:rPr>
        <w:t>– istota i cechy charakterystyczne</w:t>
      </w:r>
    </w:p>
    <w:p w14:paraId="38938146" w14:textId="77777777" w:rsidR="004C57E5" w:rsidRPr="004127BC" w:rsidRDefault="004C57E5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Obowiązek podatkowy a zobowiązanie podatkowe</w:t>
      </w:r>
    </w:p>
    <w:p w14:paraId="0DD32A15" w14:textId="77777777" w:rsidR="004C57E5" w:rsidRPr="004127BC" w:rsidRDefault="004C57E5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Zasady ogólne postępowania podatkowego</w:t>
      </w:r>
    </w:p>
    <w:p w14:paraId="5F661FE5" w14:textId="77777777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lastRenderedPageBreak/>
        <w:t>Wolność podejmowania działalności gospodarczej</w:t>
      </w:r>
    </w:p>
    <w:p w14:paraId="5A6AD3B6" w14:textId="285C08DB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Reglamentacja gospodarcza, udzielanie koncesji i zezwoleń</w:t>
      </w:r>
    </w:p>
    <w:p w14:paraId="54A579B2" w14:textId="77777777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Instytucja wyroku zaocznego w procesie cywilnym</w:t>
      </w:r>
    </w:p>
    <w:p w14:paraId="4D627168" w14:textId="4BF3D7A6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Interwencja główna i uboczna w procesie cywilnym</w:t>
      </w:r>
    </w:p>
    <w:p w14:paraId="697444D1" w14:textId="5CA5781D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Naczelne zasady i przesłanki postępowania cywilnego</w:t>
      </w:r>
    </w:p>
    <w:p w14:paraId="2C778D73" w14:textId="77777777" w:rsidR="001C61C6" w:rsidRPr="004127BC" w:rsidRDefault="005543EC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Pojęcie prawa handlowego</w:t>
      </w:r>
    </w:p>
    <w:p w14:paraId="017A33B9" w14:textId="77777777" w:rsidR="005543EC" w:rsidRPr="004127BC" w:rsidRDefault="000E5987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Rodzaje spółek prawa handlowego</w:t>
      </w:r>
    </w:p>
    <w:p w14:paraId="7BD3B31D" w14:textId="52B0584E" w:rsidR="00117DFA" w:rsidRPr="004127BC" w:rsidRDefault="00681342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color w:val="333333"/>
          <w:sz w:val="24"/>
          <w:szCs w:val="24"/>
          <w:shd w:val="clear" w:color="auto" w:fill="FFFFFF"/>
        </w:rPr>
        <w:t> Specyfika spółki komunalnej</w:t>
      </w:r>
    </w:p>
    <w:p w14:paraId="1A968382" w14:textId="555B6325" w:rsidR="00566F96" w:rsidRPr="004127BC" w:rsidRDefault="00566F96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Kwestia wstępna w prawie prywatnym międzynarodowym</w:t>
      </w:r>
    </w:p>
    <w:p w14:paraId="63442BD2" w14:textId="77777777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 xml:space="preserve">Samorząd adwokatów </w:t>
      </w:r>
    </w:p>
    <w:p w14:paraId="5BF6E7E3" w14:textId="1B81F296" w:rsidR="00117DFA" w:rsidRPr="004127BC" w:rsidRDefault="00117DFA" w:rsidP="004127BC">
      <w:pPr>
        <w:pStyle w:val="Akapitzlist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 xml:space="preserve">Samorząd radców prawnych </w:t>
      </w:r>
    </w:p>
    <w:p w14:paraId="019C7E7B" w14:textId="77777777" w:rsidR="00681342" w:rsidRPr="004127BC" w:rsidRDefault="00681342" w:rsidP="004127BC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44DC62DE" w14:textId="77777777" w:rsidR="006F70B5" w:rsidRPr="004127BC" w:rsidRDefault="006F70B5" w:rsidP="004127B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127BC">
        <w:rPr>
          <w:rFonts w:ascii="Arial" w:hAnsi="Arial" w:cs="Arial"/>
          <w:b/>
          <w:sz w:val="24"/>
          <w:szCs w:val="24"/>
        </w:rPr>
        <w:t>Zagadnienia z modułu przedmiotów specjalizacyjnych I</w:t>
      </w:r>
    </w:p>
    <w:p w14:paraId="3C87ADCC" w14:textId="77777777" w:rsidR="0045681A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>Prawo pierwokupu nieruchomości</w:t>
      </w:r>
    </w:p>
    <w:p w14:paraId="3D3C4399" w14:textId="32A5E711" w:rsidR="00B34DFA" w:rsidRPr="004127BC" w:rsidRDefault="00B34DF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4127BC">
        <w:rPr>
          <w:rFonts w:ascii="Arial" w:hAnsi="Arial" w:cs="Arial"/>
          <w:bCs/>
          <w:sz w:val="24"/>
          <w:szCs w:val="24"/>
        </w:rPr>
        <w:t>Obrót nieruchomościami z udziałem małżonków i osób małoletnich</w:t>
      </w:r>
    </w:p>
    <w:p w14:paraId="78D727BC" w14:textId="24466B1B" w:rsidR="0045681A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Dziedziczenie gospodarstwa rolnego</w:t>
      </w:r>
    </w:p>
    <w:p w14:paraId="3D6A0CAE" w14:textId="21B28A60" w:rsidR="0045681A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Odpowiedzialność cywilna za naruszenie prawa spowodowane opublikowaniem materiału prasowego</w:t>
      </w:r>
    </w:p>
    <w:p w14:paraId="4023BB2A" w14:textId="77777777" w:rsidR="0045681A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Zasadnicze elementy skargi powodowej o nieważność małżeństwa w trybie procesu zwyczajnego</w:t>
      </w:r>
    </w:p>
    <w:p w14:paraId="4626845C" w14:textId="45B0DE89" w:rsidR="0045681A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color w:val="000000"/>
          <w:sz w:val="24"/>
          <w:szCs w:val="24"/>
        </w:rPr>
        <w:t>Prawa i obowiązki wynajmującego i najemcy</w:t>
      </w:r>
    </w:p>
    <w:p w14:paraId="6E8E703B" w14:textId="25C0F39D" w:rsidR="00B34DFA" w:rsidRPr="004127BC" w:rsidRDefault="00B34DF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color w:val="000000"/>
          <w:sz w:val="24"/>
          <w:szCs w:val="24"/>
        </w:rPr>
        <w:t xml:space="preserve">Powstanie i charakter prawny wspólnoty mieszkaniowej  </w:t>
      </w:r>
    </w:p>
    <w:p w14:paraId="6CFB3E00" w14:textId="77777777" w:rsidR="00DC2DC9" w:rsidRPr="004127BC" w:rsidRDefault="0045681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Podstawowe prawa pacjenta</w:t>
      </w:r>
    </w:p>
    <w:p w14:paraId="6C2952DC" w14:textId="085CC546" w:rsidR="00B34DFA" w:rsidRPr="004127BC" w:rsidRDefault="00B34DF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Zasady i tryb ustalania odszkodowania i zadośćuczynienia w przypadku zdarzeń medycznych</w:t>
      </w:r>
    </w:p>
    <w:p w14:paraId="4F7A3C74" w14:textId="77777777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Forma umowy ubezpieczenia</w:t>
      </w:r>
    </w:p>
    <w:p w14:paraId="27D061A8" w14:textId="003F448D" w:rsidR="00B34DFA" w:rsidRPr="004127BC" w:rsidRDefault="00B34DFA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Ubezpieczenia komunikacyjne</w:t>
      </w:r>
    </w:p>
    <w:p w14:paraId="3137C463" w14:textId="4439CCA3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 xml:space="preserve">Odpowiedzialność cywilna w prawie żywnościowym </w:t>
      </w:r>
    </w:p>
    <w:p w14:paraId="31CDD3A4" w14:textId="77777777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Dowody w procesie cywilnym zgłaszane przez powoda i pozwanego w świetle przepisów kodeksu postępowania cywilnego</w:t>
      </w:r>
    </w:p>
    <w:p w14:paraId="403CF7F2" w14:textId="77777777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Zasada swobodnej oceny dowodów w świetle kodeksu postępowania cywilnego</w:t>
      </w:r>
    </w:p>
    <w:p w14:paraId="5798F235" w14:textId="77777777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Właściwość (kompetencja) sądów kościelnych przy przyjmowaniu spraw o nieważność małżeństwa</w:t>
      </w:r>
    </w:p>
    <w:p w14:paraId="1BFBFE56" w14:textId="148EF5FD" w:rsidR="0045681A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Prawa i obowiązki pozwanego w procesie cywilnym</w:t>
      </w:r>
    </w:p>
    <w:p w14:paraId="7E21FD23" w14:textId="5B115E3D" w:rsidR="00DC2DC9" w:rsidRPr="004127BC" w:rsidRDefault="00DC2DC9" w:rsidP="004127BC">
      <w:pPr>
        <w:pStyle w:val="Akapitzlist"/>
        <w:numPr>
          <w:ilvl w:val="0"/>
          <w:numId w:val="5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Czynności sędziowskie w procesie kontradyktoryjnym</w:t>
      </w:r>
    </w:p>
    <w:p w14:paraId="24D7EA89" w14:textId="77777777" w:rsidR="0045681A" w:rsidRPr="004127BC" w:rsidRDefault="0045681A" w:rsidP="004127BC">
      <w:pPr>
        <w:pStyle w:val="Akapitzlist"/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</w:p>
    <w:p w14:paraId="1BA9185E" w14:textId="77777777" w:rsidR="006F70B5" w:rsidRPr="004127BC" w:rsidRDefault="006F70B5" w:rsidP="004127B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127BC">
        <w:rPr>
          <w:rFonts w:ascii="Arial" w:hAnsi="Arial" w:cs="Arial"/>
          <w:b/>
          <w:sz w:val="24"/>
          <w:szCs w:val="24"/>
        </w:rPr>
        <w:t>Zagadnienia z modułu przedmiotów specjalizacyjnych II</w:t>
      </w:r>
    </w:p>
    <w:p w14:paraId="415B8F03" w14:textId="77777777" w:rsidR="0045681A" w:rsidRPr="004127BC" w:rsidRDefault="0045681A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Reguła siedmiu złotych pytań kryminalistyki</w:t>
      </w:r>
    </w:p>
    <w:p w14:paraId="2E6CC34F" w14:textId="77777777" w:rsidR="0045681A" w:rsidRPr="004127BC" w:rsidRDefault="0045681A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Modus operandi  sprawców przestępstw</w:t>
      </w:r>
    </w:p>
    <w:p w14:paraId="56A4A496" w14:textId="77777777" w:rsidR="0045681A" w:rsidRPr="004127BC" w:rsidRDefault="0045681A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Rodzaj kar za przestępstwa skarbowe</w:t>
      </w:r>
    </w:p>
    <w:p w14:paraId="054B034F" w14:textId="77777777" w:rsidR="0045681A" w:rsidRPr="004127BC" w:rsidRDefault="0045681A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Instytucja dobrowolnego poddania się odpowiedzialności w prawie karnym skarbowym</w:t>
      </w:r>
    </w:p>
    <w:p w14:paraId="4118A13F" w14:textId="77777777" w:rsidR="006F70B5" w:rsidRPr="004127BC" w:rsidRDefault="00F5236D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Różnice między postępowaniem karnym a postepowaniem w sprawach o wykroczenia</w:t>
      </w:r>
    </w:p>
    <w:p w14:paraId="68EEB238" w14:textId="77777777" w:rsidR="00F5236D" w:rsidRPr="004127BC" w:rsidRDefault="00F5236D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Postepowanie mandatowe w sprawach o wykroczenia</w:t>
      </w:r>
    </w:p>
    <w:p w14:paraId="3CC087AC" w14:textId="77777777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Systemy wykonywania kary pozbawienia wolności</w:t>
      </w:r>
    </w:p>
    <w:p w14:paraId="2A9E243F" w14:textId="5EE2F028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Odroczenie wykonania kary pozbawienia wolności</w:t>
      </w:r>
    </w:p>
    <w:p w14:paraId="2838015C" w14:textId="77777777" w:rsidR="00F5236D" w:rsidRPr="004127BC" w:rsidRDefault="00F5236D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Czyny zabronione opisane w ustawie o Przeciwdziałaniu narkomanii</w:t>
      </w:r>
    </w:p>
    <w:p w14:paraId="0798F94C" w14:textId="77777777" w:rsidR="00F5236D" w:rsidRPr="004127BC" w:rsidRDefault="00F5236D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Przestępstwa opisane w ustawie o bezpieczeństwie imprez masowych</w:t>
      </w:r>
    </w:p>
    <w:p w14:paraId="6FFA895B" w14:textId="77777777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lastRenderedPageBreak/>
        <w:t>Wiktymizacja pierwotna, wtórna, powtórna</w:t>
      </w:r>
    </w:p>
    <w:p w14:paraId="58B5526F" w14:textId="150F0951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Funkcjonowanie i organizacja Policji</w:t>
      </w:r>
    </w:p>
    <w:p w14:paraId="29FDA8C1" w14:textId="77777777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Okoliczności wyłączające popełnienie wykroczenia przez sprawcę</w:t>
      </w:r>
    </w:p>
    <w:p w14:paraId="1561D3E2" w14:textId="77777777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Okoliczności wpływające na wymiar kary sprawcy według kodeksu wykroczeń</w:t>
      </w:r>
    </w:p>
    <w:p w14:paraId="44CF43A9" w14:textId="6B073FDE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Pojęcie i zakres psychologii kryminalistycznej</w:t>
      </w:r>
    </w:p>
    <w:p w14:paraId="4862EDEC" w14:textId="77777777" w:rsidR="00566444" w:rsidRPr="004127BC" w:rsidRDefault="00566444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Środki przeciwdziałania demoralizacji nieletnich i dopuszczaniu się przez nich czynów karalnych</w:t>
      </w:r>
    </w:p>
    <w:p w14:paraId="3C5EA6E8" w14:textId="78EE9FD4" w:rsidR="00DC2DC9" w:rsidRPr="004127BC" w:rsidRDefault="00DC2DC9" w:rsidP="004127BC">
      <w:pPr>
        <w:pStyle w:val="Akapitzlist"/>
        <w:numPr>
          <w:ilvl w:val="0"/>
          <w:numId w:val="6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4127BC">
        <w:rPr>
          <w:rFonts w:ascii="Arial" w:hAnsi="Arial" w:cs="Arial"/>
          <w:sz w:val="24"/>
          <w:szCs w:val="24"/>
        </w:rPr>
        <w:t>Rola i funkcje obrońcy w procesie karnym</w:t>
      </w:r>
    </w:p>
    <w:p w14:paraId="2C32A346" w14:textId="77777777" w:rsidR="005543EC" w:rsidRPr="004127BC" w:rsidRDefault="005543EC" w:rsidP="004127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DAE813C" w14:textId="77777777" w:rsidR="004726C5" w:rsidRPr="004127BC" w:rsidRDefault="004726C5" w:rsidP="004127B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4726C5" w:rsidRPr="004127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A63CA9"/>
    <w:multiLevelType w:val="hybridMultilevel"/>
    <w:tmpl w:val="A184D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F560E1"/>
    <w:multiLevelType w:val="hybridMultilevel"/>
    <w:tmpl w:val="1D549F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F639A1"/>
    <w:multiLevelType w:val="hybridMultilevel"/>
    <w:tmpl w:val="5296B0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776B62"/>
    <w:multiLevelType w:val="hybridMultilevel"/>
    <w:tmpl w:val="282A6082"/>
    <w:lvl w:ilvl="0" w:tplc="663A3A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97D317A"/>
    <w:multiLevelType w:val="hybridMultilevel"/>
    <w:tmpl w:val="5E5EB678"/>
    <w:lvl w:ilvl="0" w:tplc="ACDAC65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B671D2C"/>
    <w:multiLevelType w:val="hybridMultilevel"/>
    <w:tmpl w:val="1E3EB7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501126">
    <w:abstractNumId w:val="0"/>
  </w:num>
  <w:num w:numId="2" w16cid:durableId="141849451">
    <w:abstractNumId w:val="3"/>
  </w:num>
  <w:num w:numId="3" w16cid:durableId="217402453">
    <w:abstractNumId w:val="4"/>
  </w:num>
  <w:num w:numId="4" w16cid:durableId="1409616476">
    <w:abstractNumId w:val="5"/>
  </w:num>
  <w:num w:numId="5" w16cid:durableId="132216800">
    <w:abstractNumId w:val="2"/>
  </w:num>
  <w:num w:numId="6" w16cid:durableId="5255641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4BCB"/>
    <w:rsid w:val="0006087D"/>
    <w:rsid w:val="000B75EC"/>
    <w:rsid w:val="000E5987"/>
    <w:rsid w:val="00117DFA"/>
    <w:rsid w:val="001276BC"/>
    <w:rsid w:val="001C61C6"/>
    <w:rsid w:val="002B3462"/>
    <w:rsid w:val="0033365C"/>
    <w:rsid w:val="003A5576"/>
    <w:rsid w:val="004127BC"/>
    <w:rsid w:val="0045681A"/>
    <w:rsid w:val="004663B5"/>
    <w:rsid w:val="004726C5"/>
    <w:rsid w:val="004C57E5"/>
    <w:rsid w:val="005505BD"/>
    <w:rsid w:val="005543EC"/>
    <w:rsid w:val="00566444"/>
    <w:rsid w:val="00566F96"/>
    <w:rsid w:val="00577B0F"/>
    <w:rsid w:val="00587C81"/>
    <w:rsid w:val="006146DC"/>
    <w:rsid w:val="00681342"/>
    <w:rsid w:val="006F70B5"/>
    <w:rsid w:val="00766FB3"/>
    <w:rsid w:val="00781982"/>
    <w:rsid w:val="00917463"/>
    <w:rsid w:val="009D2C51"/>
    <w:rsid w:val="00A24BD1"/>
    <w:rsid w:val="00A464D3"/>
    <w:rsid w:val="00A6192F"/>
    <w:rsid w:val="00B34DFA"/>
    <w:rsid w:val="00B64760"/>
    <w:rsid w:val="00DC2DC9"/>
    <w:rsid w:val="00E63543"/>
    <w:rsid w:val="00EA2436"/>
    <w:rsid w:val="00EE2032"/>
    <w:rsid w:val="00F5236D"/>
    <w:rsid w:val="00F67F3D"/>
    <w:rsid w:val="00F74BCB"/>
    <w:rsid w:val="00FE06DA"/>
    <w:rsid w:val="00FE0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C67AA"/>
  <w15:docId w15:val="{F76ABCEC-7A89-4F47-985F-5586029EB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E0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84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691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Przyrodniczo Humanistyczny w Siedlcach</Company>
  <LinksUpToDate>false</LinksUpToDate>
  <CharactersWithSpaces>4834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Strus</dc:creator>
  <cp:keywords/>
  <dc:description/>
  <cp:lastModifiedBy>Bartłomiej Suchodolski</cp:lastModifiedBy>
  <cp:revision>10</cp:revision>
  <dcterms:created xsi:type="dcterms:W3CDTF">2025-01-29T15:53:00Z</dcterms:created>
  <dcterms:modified xsi:type="dcterms:W3CDTF">2025-03-10T16:24:00Z</dcterms:modified>
</cp:coreProperties>
</file>